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23" w:rsidRDefault="000C6A23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0C6A23" w:rsidRDefault="000C6A23">
      <w:pPr>
        <w:pStyle w:val="ConsPlusTitle"/>
        <w:jc w:val="center"/>
      </w:pPr>
      <w:r>
        <w:t>ЕВРЕЙСКОЙ АВТОНОМНОЙ ОБЛАСТИ</w:t>
      </w:r>
    </w:p>
    <w:p w:rsidR="000C6A23" w:rsidRDefault="000C6A23">
      <w:pPr>
        <w:pStyle w:val="ConsPlusTitle"/>
        <w:jc w:val="center"/>
      </w:pPr>
    </w:p>
    <w:p w:rsidR="000C6A23" w:rsidRDefault="000C6A23">
      <w:pPr>
        <w:pStyle w:val="ConsPlusTitle"/>
        <w:jc w:val="center"/>
      </w:pPr>
      <w:r>
        <w:t>АДМИНИСТРАЦИЯ МУНИЦИПАЛЬНОГО РАЙОНА</w:t>
      </w:r>
    </w:p>
    <w:p w:rsidR="000C6A23" w:rsidRDefault="000C6A23">
      <w:pPr>
        <w:pStyle w:val="ConsPlusTitle"/>
        <w:jc w:val="center"/>
      </w:pPr>
    </w:p>
    <w:p w:rsidR="000C6A23" w:rsidRDefault="000C6A23">
      <w:pPr>
        <w:pStyle w:val="ConsPlusTitle"/>
        <w:jc w:val="center"/>
      </w:pPr>
      <w:r>
        <w:t>ПОСТАНОВЛЕНИЕ</w:t>
      </w:r>
    </w:p>
    <w:p w:rsidR="000C6A23" w:rsidRDefault="000C6A23">
      <w:pPr>
        <w:pStyle w:val="ConsPlusTitle"/>
        <w:jc w:val="center"/>
      </w:pPr>
      <w:r>
        <w:t>от 14 октября 2016 г. N 336</w:t>
      </w:r>
    </w:p>
    <w:p w:rsidR="000C6A23" w:rsidRDefault="000C6A23">
      <w:pPr>
        <w:pStyle w:val="ConsPlusTitle"/>
        <w:jc w:val="center"/>
      </w:pPr>
    </w:p>
    <w:p w:rsidR="000C6A23" w:rsidRDefault="000C6A23">
      <w:pPr>
        <w:pStyle w:val="ConsPlusTitle"/>
        <w:jc w:val="center"/>
      </w:pPr>
      <w:r>
        <w:t>ОБ УТВЕРЖДЕНИИ МУНИЦИПАЛЬНОЙ ПРОГРАММЫ "СОХРАННОСТЬ</w:t>
      </w:r>
    </w:p>
    <w:p w:rsidR="000C6A23" w:rsidRDefault="000C6A23">
      <w:pPr>
        <w:pStyle w:val="ConsPlusTitle"/>
        <w:jc w:val="center"/>
      </w:pPr>
      <w:r>
        <w:t xml:space="preserve">И РАЗВИТИЕ СЕТИ АВТОМОБИЛЬНЫХ ДОРОГ ОБЩЕГО ПОЛЬЗОВАНИЯ </w:t>
      </w:r>
      <w:proofErr w:type="gramStart"/>
      <w:r>
        <w:t>ВНЕ</w:t>
      </w:r>
      <w:proofErr w:type="gramEnd"/>
    </w:p>
    <w:p w:rsidR="000C6A23" w:rsidRDefault="000C6A23">
      <w:pPr>
        <w:pStyle w:val="ConsPlusTitle"/>
        <w:jc w:val="center"/>
      </w:pPr>
      <w:r>
        <w:t>ГРАНИЦ НАСЕЛЕННЫХ ПУНКТОВ В ГРАНИЦАХ ОБЛУЧЕНСКОГО</w:t>
      </w:r>
    </w:p>
    <w:p w:rsidR="000C6A23" w:rsidRDefault="000C6A23">
      <w:pPr>
        <w:pStyle w:val="ConsPlusTitle"/>
        <w:jc w:val="center"/>
      </w:pPr>
      <w:r>
        <w:t>МУНИЦИПАЛЬНОГО РАЙОНА ЕВРЕЙСКОЙ АВТОНОМНОЙ ОБЛАСТИ</w:t>
      </w:r>
    </w:p>
    <w:p w:rsidR="000C6A23" w:rsidRDefault="000C6A23">
      <w:pPr>
        <w:pStyle w:val="ConsPlusTitle"/>
        <w:jc w:val="center"/>
      </w:pPr>
      <w:r>
        <w:t>НА 2017 - 2021 ГОДЫ"</w:t>
      </w:r>
    </w:p>
    <w:p w:rsidR="000C6A23" w:rsidRDefault="000C6A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C6A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6A23" w:rsidRDefault="000C6A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18.01.2017 </w:t>
            </w:r>
            <w:hyperlink r:id="rId4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,</w:t>
            </w:r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24.01.2018 </w:t>
            </w:r>
            <w:hyperlink r:id="rId5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14.02.2018 </w:t>
            </w:r>
            <w:hyperlink r:id="rId6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11.12.2018 </w:t>
            </w:r>
            <w:hyperlink r:id="rId7" w:history="1">
              <w:r>
                <w:rPr>
                  <w:color w:val="0000FF"/>
                </w:rPr>
                <w:t>N 361</w:t>
              </w:r>
            </w:hyperlink>
            <w:r>
              <w:rPr>
                <w:color w:val="392C69"/>
              </w:rPr>
              <w:t>,</w:t>
            </w:r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21.12.2018 </w:t>
            </w:r>
            <w:hyperlink r:id="rId8" w:history="1">
              <w:r>
                <w:rPr>
                  <w:color w:val="0000FF"/>
                </w:rPr>
                <w:t>N 370</w:t>
              </w:r>
            </w:hyperlink>
            <w:r>
              <w:rPr>
                <w:color w:val="392C69"/>
              </w:rPr>
              <w:t xml:space="preserve">, от 16.01.2019 </w:t>
            </w:r>
            <w:hyperlink r:id="rId9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 xml:space="preserve">, от 24.04.2019 </w:t>
            </w:r>
            <w:hyperlink r:id="rId10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>,</w:t>
            </w:r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20.06.2019 </w:t>
            </w:r>
            <w:hyperlink r:id="rId11" w:history="1">
              <w:r>
                <w:rPr>
                  <w:color w:val="0000FF"/>
                </w:rPr>
                <w:t>N 138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10.12.1995 N 196-ФЗ "О безопасности дорожного движения", </w:t>
      </w:r>
      <w:hyperlink r:id="rId13" w:history="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5 п. 1 ст. 15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4" w:history="1">
        <w:r>
          <w:rPr>
            <w:color w:val="0000FF"/>
          </w:rPr>
          <w:t>решением</w:t>
        </w:r>
      </w:hyperlink>
      <w:r>
        <w:t xml:space="preserve"> Собрания депутатов муниципального образования "Облученский муниципальный район" от 12.02.2014 N 556, на основании </w:t>
      </w:r>
      <w:hyperlink r:id="rId15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  <w:proofErr w:type="gramEnd"/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</w:pPr>
      <w:r>
        <w:t>ПОСТАНОВЛЯЕТ: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"Сохранность и развитие сети автомобильных дорог общего пользования вне границ населенных пунктов в границах Облученского муниципального района на 2017 год и плановый период 2018 - 2019 годов".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2. Контроль по исполнению настоящего постановления возложить на первого заместителя главы администрации - начальника отдела районного хозяйства Исакова Е.А.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3. Настоящее постановление опубликовать в газете "Искра Хингана".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4. Настоящее постановление вступает в силу после дня его официального опубликования.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right"/>
      </w:pPr>
      <w:r>
        <w:t>Глава администрации муниципального района</w:t>
      </w:r>
    </w:p>
    <w:p w:rsidR="000C6A23" w:rsidRDefault="000C6A23">
      <w:pPr>
        <w:pStyle w:val="ConsPlusNormal"/>
        <w:jc w:val="right"/>
      </w:pPr>
      <w:r>
        <w:t>В.В.ОРЕЛ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right"/>
        <w:outlineLvl w:val="0"/>
      </w:pPr>
      <w:r>
        <w:t>УТВЕРЖДЕНА</w:t>
      </w:r>
    </w:p>
    <w:p w:rsidR="000C6A23" w:rsidRDefault="000C6A23">
      <w:pPr>
        <w:pStyle w:val="ConsPlusNormal"/>
        <w:jc w:val="right"/>
      </w:pPr>
      <w:r>
        <w:t>постановлением администрации</w:t>
      </w:r>
    </w:p>
    <w:p w:rsidR="000C6A23" w:rsidRDefault="000C6A23">
      <w:pPr>
        <w:pStyle w:val="ConsPlusNormal"/>
        <w:jc w:val="right"/>
      </w:pPr>
      <w:r>
        <w:t>муниципального района</w:t>
      </w:r>
    </w:p>
    <w:p w:rsidR="000C6A23" w:rsidRDefault="000C6A23">
      <w:pPr>
        <w:pStyle w:val="ConsPlusNormal"/>
        <w:jc w:val="right"/>
      </w:pPr>
      <w:r>
        <w:t>от 14.10.2016 N 336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0C6A23" w:rsidRDefault="000C6A23">
      <w:pPr>
        <w:pStyle w:val="ConsPlusTitle"/>
        <w:jc w:val="center"/>
      </w:pPr>
      <w:r>
        <w:t>"СОХРАННОСТЬ И РАЗВИТИЕ СЕТИ АВТОМОБИЛЬНЫХ ДОРОГ ОБЩЕГО</w:t>
      </w:r>
    </w:p>
    <w:p w:rsidR="000C6A23" w:rsidRDefault="000C6A23">
      <w:pPr>
        <w:pStyle w:val="ConsPlusTitle"/>
        <w:jc w:val="center"/>
      </w:pPr>
      <w:r>
        <w:t>ПОЛЬЗОВАНИЯ ВНЕ ГРАНИЦ НАСЕЛЕННЫХ ПУНКТОВ В ГРАНИЦАХ</w:t>
      </w:r>
    </w:p>
    <w:p w:rsidR="000C6A23" w:rsidRDefault="000C6A23">
      <w:pPr>
        <w:pStyle w:val="ConsPlusTitle"/>
        <w:jc w:val="center"/>
      </w:pPr>
      <w:r>
        <w:t>ОБЛУЧЕНСКОГО МУНИЦИПАЛЬНОГО РАЙОНА НА 2017 - 2021 ГОДЫ"</w:t>
      </w:r>
    </w:p>
    <w:p w:rsidR="000C6A23" w:rsidRDefault="000C6A2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0C6A2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6A23" w:rsidRDefault="000C6A2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16.01.2019 </w:t>
            </w:r>
            <w:hyperlink r:id="rId16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,</w:t>
            </w:r>
          </w:p>
          <w:p w:rsidR="000C6A23" w:rsidRDefault="000C6A23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24.04.2019 </w:t>
            </w:r>
            <w:hyperlink r:id="rId17" w:history="1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20.06.2019 </w:t>
            </w:r>
            <w:hyperlink r:id="rId18" w:history="1">
              <w:r>
                <w:rPr>
                  <w:color w:val="0000FF"/>
                </w:rPr>
                <w:t>N 138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1. Паспорт</w:t>
      </w:r>
    </w:p>
    <w:p w:rsidR="000C6A23" w:rsidRDefault="000C6A23">
      <w:pPr>
        <w:pStyle w:val="ConsPlusTitle"/>
        <w:jc w:val="center"/>
      </w:pPr>
      <w:r>
        <w:t>муниципальной программы Облученского муниципального района</w:t>
      </w:r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4"/>
      </w:tblGrid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2017 - 2021 годы"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Администрация муниципального образования "Облученский муниципальный район"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Отдел районного хозяйства администрации муниципального образования "Облученский муниципальный район"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Структура муниципальной программы: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</w:pP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Выполнение текущих регламентных мероприятий по содержанию автомобильных дорог и искусственных сооружений на них.</w:t>
            </w:r>
          </w:p>
          <w:p w:rsidR="000C6A23" w:rsidRDefault="000C6A23">
            <w:pPr>
              <w:pStyle w:val="ConsPlusNormal"/>
              <w:jc w:val="both"/>
            </w:pPr>
            <w:r>
              <w:t>Выполнение работ по плановому нормативному ремонту автомобильных дорог и искусственных сооружений на них.</w:t>
            </w:r>
          </w:p>
          <w:p w:rsidR="000C6A23" w:rsidRDefault="000C6A23">
            <w:pPr>
              <w:pStyle w:val="ConsPlusNormal"/>
              <w:jc w:val="both"/>
            </w:pPr>
            <w:r>
              <w:t>Проведение оценки технического состояния автомобильных дорог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 xml:space="preserve">Снижение доли протяженности автомобильных дорог, не </w:t>
            </w:r>
            <w:proofErr w:type="gramStart"/>
            <w:r>
              <w:t>отвечающих</w:t>
            </w:r>
            <w:proofErr w:type="gramEnd"/>
            <w:r>
              <w:t xml:space="preserve"> нормативным требованиям, ежегодно на 3 процента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>Этапы и сроки реализации муниципальной 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2017 - 2021 годы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proofErr w:type="gramStart"/>
            <w:r>
              <w:t>Объемы и источники финансирования муниципальной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целей муниципальной программы, в том числе с разбивкой по годам</w:t>
            </w:r>
            <w:proofErr w:type="gramEnd"/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t>Общий объем финансирования программы на 2017 - 2021 годы:</w:t>
            </w:r>
          </w:p>
          <w:p w:rsidR="000C6A23" w:rsidRDefault="000C6A23">
            <w:pPr>
              <w:pStyle w:val="ConsPlusNormal"/>
              <w:jc w:val="both"/>
            </w:pPr>
            <w:r>
              <w:t>- средства районного бюджета на 2017 год - 2304,1 тыс. руб.;</w:t>
            </w:r>
          </w:p>
          <w:p w:rsidR="000C6A23" w:rsidRDefault="000C6A23">
            <w:pPr>
              <w:pStyle w:val="ConsPlusNormal"/>
              <w:jc w:val="both"/>
            </w:pPr>
            <w:r>
              <w:t>- средства районного бюджета на 2018 год - 6690,0 тыс. руб.;</w:t>
            </w:r>
          </w:p>
          <w:p w:rsidR="000C6A23" w:rsidRDefault="000C6A23">
            <w:pPr>
              <w:pStyle w:val="ConsPlusNormal"/>
              <w:jc w:val="both"/>
            </w:pPr>
            <w:r>
              <w:t>- средства районного бюджета на 2019 год - 2741,6 тыс. руб.;</w:t>
            </w:r>
          </w:p>
          <w:p w:rsidR="000C6A23" w:rsidRDefault="000C6A23">
            <w:pPr>
              <w:pStyle w:val="ConsPlusNormal"/>
              <w:jc w:val="both"/>
            </w:pPr>
            <w:r>
              <w:t>- средства районного бюджета на 2020 год - 5064,7 тыс. руб.;</w:t>
            </w:r>
          </w:p>
          <w:p w:rsidR="000C6A23" w:rsidRDefault="000C6A23">
            <w:pPr>
              <w:pStyle w:val="ConsPlusNormal"/>
              <w:jc w:val="both"/>
            </w:pPr>
            <w:r>
              <w:t>- средства районного бюджета на 2021 год - 5641,2 тыс. руб.</w:t>
            </w:r>
          </w:p>
        </w:tc>
      </w:tr>
      <w:tr w:rsidR="000C6A23">
        <w:tc>
          <w:tcPr>
            <w:tcW w:w="2268" w:type="dxa"/>
          </w:tcPr>
          <w:p w:rsidR="000C6A23" w:rsidRDefault="000C6A23">
            <w:pPr>
              <w:pStyle w:val="ConsPlusNormal"/>
            </w:pPr>
            <w:r>
              <w:t xml:space="preserve">Ожидаемые результаты реализации муниципальной </w:t>
            </w:r>
            <w:r>
              <w:lastRenderedPageBreak/>
              <w:t>программы</w:t>
            </w:r>
          </w:p>
        </w:tc>
        <w:tc>
          <w:tcPr>
            <w:tcW w:w="6804" w:type="dxa"/>
          </w:tcPr>
          <w:p w:rsidR="000C6A23" w:rsidRDefault="000C6A23">
            <w:pPr>
              <w:pStyle w:val="ConsPlusNormal"/>
              <w:jc w:val="both"/>
            </w:pPr>
            <w:r>
              <w:lastRenderedPageBreak/>
              <w:t>Сохранность 126,576 км муниципальных автомобильных дорог общего пользования в допустимом состоянии по условиям безопасности дорожного движения.</w:t>
            </w:r>
          </w:p>
          <w:p w:rsidR="000C6A23" w:rsidRDefault="000C6A23">
            <w:pPr>
              <w:pStyle w:val="ConsPlusNormal"/>
              <w:jc w:val="both"/>
            </w:pPr>
            <w:r>
              <w:lastRenderedPageBreak/>
              <w:t xml:space="preserve">Ежегодное увеличение доли протяженности муниципальных автомобильных дорог общего пользования в общей протяженности автомобильных дорог общего пользования местного значения, </w:t>
            </w:r>
            <w:proofErr w:type="gramStart"/>
            <w:r>
              <w:t>отвечающих</w:t>
            </w:r>
            <w:proofErr w:type="gramEnd"/>
            <w:r>
              <w:t xml:space="preserve"> нормативным требованиям, на 3%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2. Общая характеристика сферы реализации муниципальной</w:t>
      </w:r>
    </w:p>
    <w:p w:rsidR="000C6A23" w:rsidRDefault="000C6A23">
      <w:pPr>
        <w:pStyle w:val="ConsPlusTitle"/>
        <w:jc w:val="center"/>
      </w:pPr>
      <w:r>
        <w:t>программы, в том числе основных проблем, и прогноз</w:t>
      </w:r>
    </w:p>
    <w:p w:rsidR="000C6A23" w:rsidRDefault="000C6A23">
      <w:pPr>
        <w:pStyle w:val="ConsPlusTitle"/>
        <w:jc w:val="center"/>
      </w:pPr>
      <w:r>
        <w:t>ее развития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 xml:space="preserve">В транспортной системе Облученского муниципального района сеть автомобильных дорог является одним из важнейших элементов, успешное функционирование и устойчивое </w:t>
      </w:r>
      <w:proofErr w:type="gramStart"/>
      <w:r>
        <w:t>развитие</w:t>
      </w:r>
      <w:proofErr w:type="gramEnd"/>
      <w:r>
        <w:t xml:space="preserve"> которого оказывает огромное влияние на стабилизацию и подъем экономики района, повышение уровня и условий жизни населения, эффективное использование трудовых, природных, производственных и инвестиционных ресурсов. Между тем состояние дорожной сети в районе далеко не соответствует экономическим и социальным потребностям. Проблема бездорожья особенно обострилась в последнее время в связи с </w:t>
      </w:r>
      <w:proofErr w:type="gramStart"/>
      <w:r>
        <w:t>крайне недостаточным</w:t>
      </w:r>
      <w:proofErr w:type="gramEnd"/>
      <w:r>
        <w:t xml:space="preserve"> финансированием для сохранения существующей сети дорог, а тем более для ее развития.</w:t>
      </w:r>
    </w:p>
    <w:p w:rsidR="000C6A23" w:rsidRDefault="000C6A23">
      <w:pPr>
        <w:pStyle w:val="ConsPlusNormal"/>
        <w:spacing w:before="200"/>
        <w:ind w:firstLine="540"/>
        <w:jc w:val="both"/>
      </w:pPr>
      <w:proofErr w:type="gramStart"/>
      <w:r>
        <w:t>Исходя из большей значимости ее решения в приемлемые сроки, для определения приоритетов социально-экономического развития района, направлений развития дорожной сети, максимального использования производственного, научно-технического, ресурсного, инвестиционного потенциалов разработана муниципальная программа "Сохранность и развитие сети автомобильных дорог общего пользования вне границ населенных пунктов в границах Облученского муниципального района на 2017 - 2021 годы" (далее - программа).</w:t>
      </w:r>
      <w:proofErr w:type="gramEnd"/>
    </w:p>
    <w:p w:rsidR="000C6A23" w:rsidRDefault="000C6A23">
      <w:pPr>
        <w:pStyle w:val="ConsPlusNormal"/>
        <w:spacing w:before="200"/>
        <w:ind w:firstLine="540"/>
        <w:jc w:val="both"/>
      </w:pPr>
      <w:r>
        <w:t>При разработке программы были использованы сведения, полученные в результате дополнительных экономических изысканий.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Основными направлениями работ при разработке программы были: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- анализ современного состояния автомобильных дорог и дорожного хозяйства за прошедший период с 2015 по 2017 годы;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- определение объемов работ и потребности в ресурсах для реализации программы;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- разработка рекомендаций по совершенствованию дорожного хозяйства;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- разработка механизмов реализации программы, обеспечивающих решение задач сохранения и развития сети автомобильных дорог и функционирования дорожного хозяйства района.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3. Приоритеты муниципальной политики в сфере реализации</w:t>
      </w:r>
    </w:p>
    <w:p w:rsidR="000C6A23" w:rsidRDefault="000C6A23">
      <w:pPr>
        <w:pStyle w:val="ConsPlusTitle"/>
        <w:jc w:val="center"/>
      </w:pPr>
      <w:r>
        <w:t>муниципальной программы, цели и задачи муниципальной</w:t>
      </w:r>
    </w:p>
    <w:p w:rsidR="000C6A23" w:rsidRDefault="000C6A23">
      <w:pPr>
        <w:pStyle w:val="ConsPlusTitle"/>
        <w:jc w:val="center"/>
      </w:pPr>
      <w:r>
        <w:t>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Приоритетом муниципальной политики в сфере реализации муниципальной программы являются задачи, поставленные на выполнение работ по зимнему и летнему содержанию дорог, технической эксплуатации и содержанию средств регулирования дорожного движения, по ремонту дорог и средств регулирования дорожного движения.</w:t>
      </w:r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402"/>
        <w:gridCol w:w="850"/>
        <w:gridCol w:w="784"/>
        <w:gridCol w:w="904"/>
        <w:gridCol w:w="784"/>
        <w:gridCol w:w="784"/>
        <w:gridCol w:w="919"/>
      </w:tblGrid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02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Цели, задачи, мероприятия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Срок выполнения, год</w:t>
            </w:r>
          </w:p>
        </w:tc>
        <w:tc>
          <w:tcPr>
            <w:tcW w:w="4175" w:type="dxa"/>
            <w:gridSpan w:val="5"/>
          </w:tcPr>
          <w:p w:rsidR="000C6A23" w:rsidRDefault="000C6A23">
            <w:pPr>
              <w:pStyle w:val="ConsPlusNormal"/>
              <w:jc w:val="center"/>
            </w:pPr>
            <w:r>
              <w:t>Объемы финансирования из бюджета, тыс. рублей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  <w:vMerge/>
          </w:tcPr>
          <w:p w:rsidR="000C6A23" w:rsidRDefault="000C6A23"/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2021</w:t>
            </w:r>
          </w:p>
        </w:tc>
      </w:tr>
      <w:tr w:rsidR="000C6A23">
        <w:tc>
          <w:tcPr>
            <w:tcW w:w="9031" w:type="dxa"/>
            <w:gridSpan w:val="8"/>
          </w:tcPr>
          <w:p w:rsidR="000C6A23" w:rsidRDefault="000C6A23">
            <w:pPr>
              <w:pStyle w:val="ConsPlusNormal"/>
              <w:jc w:val="both"/>
            </w:pPr>
            <w:r>
              <w:t>Основное мероприятие: 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пострадавшими.</w:t>
            </w:r>
          </w:p>
        </w:tc>
      </w:tr>
      <w:tr w:rsidR="000C6A23">
        <w:tc>
          <w:tcPr>
            <w:tcW w:w="9031" w:type="dxa"/>
            <w:gridSpan w:val="8"/>
          </w:tcPr>
          <w:p w:rsidR="000C6A23" w:rsidRDefault="000C6A23">
            <w:pPr>
              <w:pStyle w:val="ConsPlusNormal"/>
              <w:jc w:val="both"/>
            </w:pPr>
            <w:r>
              <w:t>Задача 1. Выполнение текущих регламентных работ по содержанию муниципальных автомобильных дорог общего пользования местного значения и искусственных сооружений на них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1.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 xml:space="preserve">Содержание муниципальных автомобильных дорог общего </w:t>
            </w:r>
            <w:r>
              <w:lastRenderedPageBreak/>
              <w:t>пользования местного значения и искусственных сооружений на них, в том числе: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lastRenderedPageBreak/>
              <w:t>2017 - 2021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4743,81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5000,0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4743,81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5000,0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9031" w:type="dxa"/>
            <w:gridSpan w:val="8"/>
          </w:tcPr>
          <w:p w:rsidR="000C6A23" w:rsidRDefault="000C6A23">
            <w:pPr>
              <w:pStyle w:val="ConsPlusNormal"/>
              <w:jc w:val="both"/>
            </w:pPr>
            <w:r>
              <w:t>Задача 2. Выполнение работ по плановому нормативному ремонту муниципальных автомобильных дорог общего пользования местного значения и искусственных сооружений на них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2.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Ремонтные работы по восстановлению автомобильных дорог и искусственных сооружений на них, в том числе установка дорожных знаков и ликвидация последствий возникновения чрезвычайных ситуаций природного или техногенного характера, а также наступления обстоятельств непреодолимой силы, в том числе: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t>2017 - 2021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1946,19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1946,19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2.1.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Установка дорожных знаков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t>2017 - 2021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2.2.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Ликвидация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t>2017 - 2021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1846,19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1846,19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9031" w:type="dxa"/>
            <w:gridSpan w:val="8"/>
          </w:tcPr>
          <w:p w:rsidR="000C6A23" w:rsidRDefault="000C6A23">
            <w:pPr>
              <w:pStyle w:val="ConsPlusNormal"/>
              <w:jc w:val="both"/>
            </w:pPr>
            <w:r>
              <w:t>Задача 3. Разработка КСОДД и проведение оценки технического состояния автомобильных дорог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3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 xml:space="preserve">Разработка КСОДД и проведение оценки технического состояния </w:t>
            </w:r>
            <w:r>
              <w:lastRenderedPageBreak/>
              <w:t>автомобильных дорог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lastRenderedPageBreak/>
              <w:t>201 - 2021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3.1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Разработка комплексной схемы организации дорожного движения (КСОДД)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</w:pPr>
            <w:r>
              <w:t>2017 - 2021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</w:pPr>
            <w:r>
              <w:t>3.2</w:t>
            </w: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 xml:space="preserve">Оценка технического состояния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</w:t>
            </w:r>
            <w:proofErr w:type="gramStart"/>
            <w:r>
              <w:t>границах</w:t>
            </w:r>
            <w:proofErr w:type="gramEnd"/>
            <w:r>
              <w:t xml:space="preserve">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604" w:type="dxa"/>
          </w:tcPr>
          <w:p w:rsidR="000C6A23" w:rsidRDefault="000C6A23">
            <w:pPr>
              <w:pStyle w:val="ConsPlusNormal"/>
            </w:pPr>
          </w:p>
        </w:tc>
        <w:tc>
          <w:tcPr>
            <w:tcW w:w="3402" w:type="dxa"/>
          </w:tcPr>
          <w:p w:rsidR="000C6A23" w:rsidRDefault="000C6A23">
            <w:pPr>
              <w:pStyle w:val="ConsPlusNormal"/>
            </w:pPr>
            <w:r>
              <w:t>ИТОГО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</w:pP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2304,1</w:t>
            </w:r>
          </w:p>
        </w:tc>
        <w:tc>
          <w:tcPr>
            <w:tcW w:w="904" w:type="dxa"/>
          </w:tcPr>
          <w:p w:rsidR="000C6A23" w:rsidRDefault="000C6A23">
            <w:pPr>
              <w:pStyle w:val="ConsPlusNormal"/>
              <w:jc w:val="center"/>
            </w:pPr>
            <w:r>
              <w:t>6690,0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2741,6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5064,7</w:t>
            </w:r>
          </w:p>
        </w:tc>
        <w:tc>
          <w:tcPr>
            <w:tcW w:w="919" w:type="dxa"/>
          </w:tcPr>
          <w:p w:rsidR="000C6A23" w:rsidRDefault="000C6A23">
            <w:pPr>
              <w:pStyle w:val="ConsPlusNormal"/>
              <w:jc w:val="center"/>
            </w:pPr>
            <w:r>
              <w:t>5641,2</w:t>
            </w:r>
          </w:p>
        </w:tc>
      </w:tr>
    </w:tbl>
    <w:p w:rsidR="000C6A23" w:rsidRDefault="000C6A23">
      <w:pPr>
        <w:pStyle w:val="ConsPlusNormal"/>
        <w:jc w:val="both"/>
      </w:pPr>
      <w:r>
        <w:t xml:space="preserve">(таблица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20.06.2019 N 138)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4. Перечень показателей (индикаторов)</w:t>
      </w:r>
    </w:p>
    <w:p w:rsidR="000C6A23" w:rsidRDefault="000C6A23">
      <w:pPr>
        <w:pStyle w:val="ConsPlusTitle"/>
        <w:jc w:val="center"/>
      </w:pPr>
      <w:r>
        <w:t>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20" w:history="1">
        <w:r>
          <w:rPr>
            <w:color w:val="0000FF"/>
          </w:rPr>
          <w:t>перечнем</w:t>
        </w:r>
      </w:hyperlink>
      <w:r>
        <w:t xml:space="preserve"> показателей для оценки эффективности деятельности органов местного самоуправления городских округов и муниципальных районов, утвержденным Указом Президента РФ от 28.04.2008 N 607, с целью определения степени обеспеченности сохранности существующей муниципальной дорожной сети и дорожных искусственных сооружений используется показатель "доля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</w:t>
      </w:r>
      <w:proofErr w:type="gramEnd"/>
      <w:r>
        <w:t xml:space="preserve"> местного значения". Указанный показатель вычисляется с помощью определения процентного соотношения доли протяженности автомобильных дорог общего пользования местного значения, не </w:t>
      </w:r>
      <w:proofErr w:type="gramStart"/>
      <w:r>
        <w:t>отвечающих</w:t>
      </w:r>
      <w:proofErr w:type="gramEnd"/>
      <w:r>
        <w:t xml:space="preserve"> нормативным требованиям, к общей протяженности автомобильных дорог общего пользования местного значения.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center"/>
        <w:outlineLvl w:val="2"/>
      </w:pPr>
      <w:r>
        <w:t xml:space="preserve">Сведения о показателях (индикаторах) </w:t>
      </w:r>
      <w:proofErr w:type="gramStart"/>
      <w:r>
        <w:t>муниципальной</w:t>
      </w:r>
      <w:proofErr w:type="gramEnd"/>
      <w:r>
        <w:t xml:space="preserve"> целевой</w:t>
      </w:r>
    </w:p>
    <w:p w:rsidR="000C6A23" w:rsidRDefault="000C6A23">
      <w:pPr>
        <w:pStyle w:val="ConsPlusNormal"/>
        <w:jc w:val="center"/>
      </w:pPr>
      <w:r>
        <w:t>программы "Сохранность и развитие сети автомобильных дорог</w:t>
      </w:r>
    </w:p>
    <w:p w:rsidR="000C6A23" w:rsidRDefault="000C6A23">
      <w:pPr>
        <w:pStyle w:val="ConsPlusNormal"/>
        <w:jc w:val="center"/>
      </w:pPr>
      <w:r>
        <w:t xml:space="preserve">общего пользования вне границ населенных пунктов в </w:t>
      </w:r>
      <w:proofErr w:type="gramStart"/>
      <w:r>
        <w:t>границах</w:t>
      </w:r>
      <w:proofErr w:type="gramEnd"/>
    </w:p>
    <w:p w:rsidR="000C6A23" w:rsidRDefault="000C6A23">
      <w:pPr>
        <w:pStyle w:val="ConsPlusNormal"/>
        <w:jc w:val="center"/>
      </w:pPr>
      <w:r>
        <w:t>Облученского муниципального района на 2017 - 2021 годы"</w:t>
      </w:r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685"/>
        <w:gridCol w:w="850"/>
        <w:gridCol w:w="784"/>
        <w:gridCol w:w="784"/>
        <w:gridCol w:w="784"/>
        <w:gridCol w:w="784"/>
        <w:gridCol w:w="784"/>
      </w:tblGrid>
      <w:tr w:rsidR="000C6A23">
        <w:tc>
          <w:tcPr>
            <w:tcW w:w="60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85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Единиц</w:t>
            </w:r>
            <w:r>
              <w:lastRenderedPageBreak/>
              <w:t>а измерения</w:t>
            </w:r>
          </w:p>
        </w:tc>
        <w:tc>
          <w:tcPr>
            <w:tcW w:w="3136" w:type="dxa"/>
            <w:gridSpan w:val="4"/>
          </w:tcPr>
          <w:p w:rsidR="000C6A23" w:rsidRDefault="000C6A23">
            <w:pPr>
              <w:pStyle w:val="ConsPlusNormal"/>
              <w:jc w:val="center"/>
            </w:pPr>
            <w:r>
              <w:lastRenderedPageBreak/>
              <w:t>Значение индикатора (показателя)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</w:pPr>
          </w:p>
        </w:tc>
      </w:tr>
      <w:tr w:rsidR="000C6A23">
        <w:tc>
          <w:tcPr>
            <w:tcW w:w="604" w:type="dxa"/>
            <w:vMerge/>
          </w:tcPr>
          <w:p w:rsidR="000C6A23" w:rsidRDefault="000C6A23"/>
        </w:tc>
        <w:tc>
          <w:tcPr>
            <w:tcW w:w="3685" w:type="dxa"/>
            <w:vMerge/>
          </w:tcPr>
          <w:p w:rsidR="000C6A23" w:rsidRDefault="000C6A23"/>
        </w:tc>
        <w:tc>
          <w:tcPr>
            <w:tcW w:w="850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2021 год</w:t>
            </w:r>
          </w:p>
        </w:tc>
      </w:tr>
      <w:tr w:rsidR="000C6A23">
        <w:tc>
          <w:tcPr>
            <w:tcW w:w="604" w:type="dxa"/>
          </w:tcPr>
          <w:p w:rsidR="000C6A23" w:rsidRDefault="000C6A23">
            <w:pPr>
              <w:pStyle w:val="ConsPlusNormal"/>
            </w:pPr>
            <w:r>
              <w:lastRenderedPageBreak/>
              <w:t>1.</w:t>
            </w:r>
          </w:p>
        </w:tc>
        <w:tc>
          <w:tcPr>
            <w:tcW w:w="8455" w:type="dxa"/>
            <w:gridSpan w:val="7"/>
          </w:tcPr>
          <w:p w:rsidR="000C6A23" w:rsidRDefault="000C6A23">
            <w:pPr>
              <w:pStyle w:val="ConsPlusNormal"/>
            </w:pPr>
            <w:r>
              <w:t>Основное мероприятие: 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</w:t>
            </w:r>
          </w:p>
        </w:tc>
      </w:tr>
      <w:tr w:rsidR="000C6A23">
        <w:tc>
          <w:tcPr>
            <w:tcW w:w="604" w:type="dxa"/>
          </w:tcPr>
          <w:p w:rsidR="000C6A23" w:rsidRDefault="000C6A23">
            <w:pPr>
              <w:pStyle w:val="ConsPlusNormal"/>
            </w:pPr>
            <w:r>
              <w:t>1.1.</w:t>
            </w:r>
          </w:p>
        </w:tc>
        <w:tc>
          <w:tcPr>
            <w:tcW w:w="8455" w:type="dxa"/>
            <w:gridSpan w:val="7"/>
          </w:tcPr>
          <w:p w:rsidR="000C6A23" w:rsidRDefault="000C6A23">
            <w:pPr>
              <w:pStyle w:val="ConsPlusNormal"/>
            </w:pPr>
            <w:r>
              <w:t>Протяженность муниципальных автомобильных дорог общего пользования местного значения, на которых производится комплекс работ по содержанию и ремонту дорог</w:t>
            </w:r>
          </w:p>
        </w:tc>
      </w:tr>
      <w:tr w:rsidR="000C6A23">
        <w:tc>
          <w:tcPr>
            <w:tcW w:w="604" w:type="dxa"/>
          </w:tcPr>
          <w:p w:rsidR="000C6A23" w:rsidRDefault="000C6A23">
            <w:pPr>
              <w:pStyle w:val="ConsPlusNormal"/>
            </w:pPr>
            <w:r>
              <w:t>1.1.1.</w:t>
            </w:r>
          </w:p>
        </w:tc>
        <w:tc>
          <w:tcPr>
            <w:tcW w:w="3685" w:type="dxa"/>
          </w:tcPr>
          <w:p w:rsidR="000C6A23" w:rsidRDefault="000C6A23">
            <w:pPr>
              <w:pStyle w:val="ConsPlusNormal"/>
            </w:pPr>
            <w:r>
              <w:t xml:space="preserve">Доля протяженности автомобильных дорог общего пользования местного значения, не </w:t>
            </w:r>
            <w:proofErr w:type="gramStart"/>
            <w:r>
              <w:t>отвечающих</w:t>
            </w:r>
            <w:proofErr w:type="gramEnd"/>
            <w:r>
              <w:t xml:space="preserve">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30,4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27,4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24,4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18,4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5. Прогноз конечных результатов 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1. Сохранность 126,576 км муниципальных автомобильных дорог общего пользования в допустимом состоянии по условиям безопасности дорожного движения.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2. Ежегодное увеличение доли протяженности муниципальных автомобильных дорог общего пользования в общей протяженности автомобильных дорог общего пользования местного значения, </w:t>
      </w:r>
      <w:proofErr w:type="gramStart"/>
      <w:r>
        <w:t>отвечающих</w:t>
      </w:r>
      <w:proofErr w:type="gramEnd"/>
      <w:r>
        <w:t xml:space="preserve"> нормативным требованиям, на 3%.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6. Сроки и этапы реализации 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Реализация долгосрочной целевой программы рассчитана на 5 лет.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  <w:outlineLvl w:val="1"/>
      </w:pPr>
      <w:r>
        <w:t xml:space="preserve">7. Система программных мероприятий </w:t>
      </w:r>
      <w:proofErr w:type="gramStart"/>
      <w:r>
        <w:t>рассчитана</w:t>
      </w:r>
      <w:proofErr w:type="gramEnd"/>
      <w:r>
        <w:t xml:space="preserve"> на 2017 - 2021 годы.</w:t>
      </w:r>
    </w:p>
    <w:p w:rsidR="000C6A23" w:rsidRDefault="000C6A23">
      <w:pPr>
        <w:pStyle w:val="ConsPlusNormal"/>
        <w:jc w:val="both"/>
      </w:pPr>
    </w:p>
    <w:p w:rsidR="000C6A23" w:rsidRDefault="000C6A23">
      <w:pPr>
        <w:sectPr w:rsidR="000C6A23" w:rsidSect="00056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71"/>
        <w:gridCol w:w="784"/>
        <w:gridCol w:w="907"/>
        <w:gridCol w:w="784"/>
        <w:gridCol w:w="784"/>
        <w:gridCol w:w="784"/>
        <w:gridCol w:w="1814"/>
        <w:gridCol w:w="1789"/>
      </w:tblGrid>
      <w:tr w:rsidR="000C6A23">
        <w:tc>
          <w:tcPr>
            <w:tcW w:w="45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lastRenderedPageBreak/>
              <w:t>N</w:t>
            </w:r>
          </w:p>
          <w:p w:rsidR="000C6A23" w:rsidRDefault="000C6A23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871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Наименование мероприятий</w:t>
            </w:r>
          </w:p>
        </w:tc>
        <w:tc>
          <w:tcPr>
            <w:tcW w:w="4043" w:type="dxa"/>
            <w:gridSpan w:val="5"/>
          </w:tcPr>
          <w:p w:rsidR="000C6A23" w:rsidRDefault="000C6A23">
            <w:pPr>
              <w:pStyle w:val="ConsPlusNormal"/>
              <w:jc w:val="center"/>
            </w:pPr>
            <w:r>
              <w:t>Срок исполнения, объем финансирования (тыс. руб.)</w:t>
            </w:r>
          </w:p>
        </w:tc>
        <w:tc>
          <w:tcPr>
            <w:tcW w:w="181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Источники финансирования, исполнители</w:t>
            </w:r>
          </w:p>
        </w:tc>
        <w:tc>
          <w:tcPr>
            <w:tcW w:w="1789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Ожидаемый результат</w:t>
            </w:r>
          </w:p>
        </w:tc>
      </w:tr>
      <w:tr w:rsidR="000C6A23">
        <w:tc>
          <w:tcPr>
            <w:tcW w:w="454" w:type="dxa"/>
            <w:vMerge/>
          </w:tcPr>
          <w:p w:rsidR="000C6A23" w:rsidRDefault="000C6A23"/>
        </w:tc>
        <w:tc>
          <w:tcPr>
            <w:tcW w:w="1871" w:type="dxa"/>
            <w:vMerge/>
          </w:tcPr>
          <w:p w:rsidR="000C6A23" w:rsidRDefault="000C6A23"/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  <w:vMerge/>
          </w:tcPr>
          <w:p w:rsidR="000C6A23" w:rsidRDefault="000C6A23"/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9971" w:type="dxa"/>
            <w:gridSpan w:val="9"/>
          </w:tcPr>
          <w:p w:rsidR="000C6A23" w:rsidRDefault="000C6A23">
            <w:pPr>
              <w:pStyle w:val="ConsPlusNormal"/>
              <w:jc w:val="both"/>
            </w:pPr>
            <w:r>
              <w:t>Основное мероприятие: 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пострадавшими.</w:t>
            </w:r>
          </w:p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 xml:space="preserve">Содержание автомобильных дорог общего пользования местного значения муниципального образования "Облученский муниципальный район" вне границ населенных пунктов в </w:t>
            </w:r>
            <w:proofErr w:type="gramStart"/>
            <w:r>
              <w:t>границах</w:t>
            </w:r>
            <w:proofErr w:type="gramEnd"/>
            <w:r>
              <w:t xml:space="preserve"> района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4743,81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814" w:type="dxa"/>
          </w:tcPr>
          <w:p w:rsidR="000C6A23" w:rsidRDefault="000C6A23">
            <w:pPr>
              <w:pStyle w:val="ConsPlusNormal"/>
              <w:jc w:val="center"/>
            </w:pPr>
            <w:r>
              <w:t>Районный бюджет, отдел районного хозяйства администрации, подрядные организации</w:t>
            </w:r>
          </w:p>
        </w:tc>
        <w:tc>
          <w:tcPr>
            <w:tcW w:w="1789" w:type="dxa"/>
            <w:vMerge w:val="restart"/>
          </w:tcPr>
          <w:p w:rsidR="000C6A23" w:rsidRDefault="000C6A23">
            <w:pPr>
              <w:pStyle w:val="ConsPlusNormal"/>
            </w:pPr>
            <w:r>
              <w:t>Сохранность 126,6 км муниципальных автомобильных дорог общего пользования в допустимом состоянии по условиям безопасности дорожного движения</w:t>
            </w:r>
          </w:p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Ремонтные работы по восстановлению автомобильных дорог и искусственных сооружений на них, в том числе: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304,1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1946,19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  <w:tc>
          <w:tcPr>
            <w:tcW w:w="181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Районный бюджет, отдел районного хозяйства администрации, подрядные организации</w:t>
            </w:r>
          </w:p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установка дорожных знаков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14" w:type="dxa"/>
            <w:vMerge/>
          </w:tcPr>
          <w:p w:rsidR="000C6A23" w:rsidRDefault="000C6A23"/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 xml:space="preserve">ликвидации последствий стихийных бедствий, связанных с </w:t>
            </w:r>
            <w:r>
              <w:lastRenderedPageBreak/>
              <w:t>осуществлением дорожной деятельности в отношении автомобильных дорог общего пользования местного значения (по решению КЧС)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lastRenderedPageBreak/>
              <w:t>304,1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1846,19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302,6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1064,7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641,2</w:t>
            </w:r>
          </w:p>
        </w:tc>
        <w:tc>
          <w:tcPr>
            <w:tcW w:w="1814" w:type="dxa"/>
            <w:vMerge/>
          </w:tcPr>
          <w:p w:rsidR="000C6A23" w:rsidRDefault="000C6A23"/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Разработка КСОДД и проведение оценки технического состояния автомобильных дорог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439,0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14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Районный бюджет, отдел районного хозяйства администрации, подрядные организации</w:t>
            </w:r>
          </w:p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Разработка комплексной схемы организации дорожного движения (КСОДД)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14" w:type="dxa"/>
            <w:vMerge/>
          </w:tcPr>
          <w:p w:rsidR="000C6A23" w:rsidRDefault="000C6A23"/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Проведение оценки технического состояния автомобильных дорог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339,0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14" w:type="dxa"/>
            <w:vMerge/>
          </w:tcPr>
          <w:p w:rsidR="000C6A23" w:rsidRDefault="000C6A23"/>
        </w:tc>
        <w:tc>
          <w:tcPr>
            <w:tcW w:w="1789" w:type="dxa"/>
            <w:vMerge/>
          </w:tcPr>
          <w:p w:rsidR="000C6A23" w:rsidRDefault="000C6A23"/>
        </w:tc>
      </w:tr>
      <w:tr w:rsidR="000C6A23">
        <w:tc>
          <w:tcPr>
            <w:tcW w:w="454" w:type="dxa"/>
          </w:tcPr>
          <w:p w:rsidR="000C6A23" w:rsidRDefault="000C6A23">
            <w:pPr>
              <w:pStyle w:val="ConsPlusNormal"/>
            </w:pPr>
          </w:p>
        </w:tc>
        <w:tc>
          <w:tcPr>
            <w:tcW w:w="1871" w:type="dxa"/>
          </w:tcPr>
          <w:p w:rsidR="000C6A23" w:rsidRDefault="000C6A23">
            <w:pPr>
              <w:pStyle w:val="ConsPlusNormal"/>
            </w:pPr>
            <w:r>
              <w:t>ИТОГО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2304,1</w:t>
            </w:r>
          </w:p>
        </w:tc>
        <w:tc>
          <w:tcPr>
            <w:tcW w:w="907" w:type="dxa"/>
          </w:tcPr>
          <w:p w:rsidR="000C6A23" w:rsidRDefault="000C6A23">
            <w:pPr>
              <w:pStyle w:val="ConsPlusNormal"/>
              <w:jc w:val="center"/>
            </w:pPr>
            <w:r>
              <w:t>6690,0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2741,6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5064,7</w:t>
            </w:r>
          </w:p>
        </w:tc>
        <w:tc>
          <w:tcPr>
            <w:tcW w:w="784" w:type="dxa"/>
          </w:tcPr>
          <w:p w:rsidR="000C6A23" w:rsidRDefault="000C6A23">
            <w:pPr>
              <w:pStyle w:val="ConsPlusNormal"/>
              <w:jc w:val="center"/>
            </w:pPr>
            <w:r>
              <w:t>5641,2</w:t>
            </w:r>
          </w:p>
        </w:tc>
        <w:tc>
          <w:tcPr>
            <w:tcW w:w="1814" w:type="dxa"/>
          </w:tcPr>
          <w:p w:rsidR="000C6A23" w:rsidRDefault="000C6A23">
            <w:pPr>
              <w:pStyle w:val="ConsPlusNormal"/>
            </w:pPr>
          </w:p>
        </w:tc>
        <w:tc>
          <w:tcPr>
            <w:tcW w:w="1789" w:type="dxa"/>
          </w:tcPr>
          <w:p w:rsidR="000C6A23" w:rsidRDefault="000C6A23">
            <w:pPr>
              <w:pStyle w:val="ConsPlusNormal"/>
            </w:pPr>
          </w:p>
        </w:tc>
      </w:tr>
    </w:tbl>
    <w:p w:rsidR="000C6A23" w:rsidRDefault="000C6A23">
      <w:pPr>
        <w:pStyle w:val="ConsPlusNormal"/>
        <w:jc w:val="both"/>
      </w:pPr>
      <w:r>
        <w:t xml:space="preserve">(таблица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20.06.2019 N 138)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8. Механизм реализации 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 xml:space="preserve">Реализация программы осуществляется на основе муниципальных контрактов, заключаемых Разработчиком программы на конкурсной основе с исполнителями программных мероприятий. Исполнители программных мероприятий будут определены в </w:t>
      </w:r>
      <w:proofErr w:type="gramStart"/>
      <w:r>
        <w:t>соответствии</w:t>
      </w:r>
      <w:proofErr w:type="gramEnd"/>
      <w:r>
        <w:t xml:space="preserve">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lastRenderedPageBreak/>
        <w:t>9. Объемы и источники финансирования 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Финансирование мероприятий, предусмотренных программой, будет осуществляться за счет средств, выделяемых из бюджета района и других источников финансирования, определенных в Порядке формирования муниципального дорожного фонда.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Основными источниками финансирования программных мероприятий являются средства районного бюджета из муниципального дорожного фонда, созданного </w:t>
      </w:r>
      <w:hyperlink r:id="rId23" w:history="1">
        <w:r>
          <w:rPr>
            <w:color w:val="0000FF"/>
          </w:rPr>
          <w:t>решением</w:t>
        </w:r>
      </w:hyperlink>
      <w:r>
        <w:t xml:space="preserve"> Собрания депутатов муниципального образования "Облученский муниципальный район" от 12.02.2014 N 556.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Муниципальный дорожный фонд - это часть средств бюджета района, подлежащая использованию в </w:t>
      </w:r>
      <w:proofErr w:type="gramStart"/>
      <w:r>
        <w:t>целях</w:t>
      </w:r>
      <w:proofErr w:type="gramEnd"/>
      <w:r>
        <w:t xml:space="preserve"> финансового обеспечения дорожной деятельности в отношении автомобильных дорог общего пользования местного значения.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Бюджетные ассигнования муниципального дорожного фонда </w:t>
      </w:r>
      <w:proofErr w:type="gramStart"/>
      <w:r>
        <w:t>имеют целевое назначение и не подлежат</w:t>
      </w:r>
      <w:proofErr w:type="gramEnd"/>
      <w:r>
        <w:t xml:space="preserve"> изъятию или расходованию на нужды, не связанные с дорожной деятельностью.</w:t>
      </w:r>
    </w:p>
    <w:p w:rsidR="000C6A23" w:rsidRDefault="000C6A23">
      <w:pPr>
        <w:pStyle w:val="ConsPlusNormal"/>
        <w:spacing w:before="200"/>
        <w:ind w:firstLine="540"/>
        <w:jc w:val="both"/>
      </w:pPr>
      <w:proofErr w:type="gramStart"/>
      <w:r>
        <w:t>Бюджетные ассигнования муниципального дорожного фонда, не использованные в текущем финансовом году, но обеспеченные его доходной частью, направляются на увеличение бюджетных ассигнований муниципального дорожного фонда в очередном финансовом году.</w:t>
      </w:r>
      <w:proofErr w:type="gramEnd"/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835"/>
        <w:gridCol w:w="1849"/>
        <w:gridCol w:w="850"/>
        <w:gridCol w:w="850"/>
        <w:gridCol w:w="850"/>
        <w:gridCol w:w="850"/>
        <w:gridCol w:w="850"/>
      </w:tblGrid>
      <w:tr w:rsidR="000C6A23">
        <w:tc>
          <w:tcPr>
            <w:tcW w:w="51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1849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250" w:type="dxa"/>
            <w:gridSpan w:val="5"/>
          </w:tcPr>
          <w:p w:rsidR="000C6A23" w:rsidRDefault="000C6A23">
            <w:pPr>
              <w:pStyle w:val="ConsPlusNormal"/>
              <w:jc w:val="center"/>
            </w:pPr>
            <w:r>
              <w:t>Расходы по годам (тыс. рублей)</w:t>
            </w:r>
          </w:p>
        </w:tc>
      </w:tr>
      <w:tr w:rsidR="000C6A23">
        <w:tc>
          <w:tcPr>
            <w:tcW w:w="510" w:type="dxa"/>
            <w:vMerge/>
          </w:tcPr>
          <w:p w:rsidR="000C6A23" w:rsidRDefault="000C6A23"/>
        </w:tc>
        <w:tc>
          <w:tcPr>
            <w:tcW w:w="2835" w:type="dxa"/>
            <w:vMerge/>
          </w:tcPr>
          <w:p w:rsidR="000C6A23" w:rsidRDefault="000C6A23"/>
        </w:tc>
        <w:tc>
          <w:tcPr>
            <w:tcW w:w="1849" w:type="dxa"/>
            <w:vMerge/>
          </w:tcPr>
          <w:p w:rsidR="000C6A23" w:rsidRDefault="000C6A23"/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2021</w:t>
            </w:r>
          </w:p>
        </w:tc>
      </w:tr>
      <w:tr w:rsidR="000C6A23">
        <w:tc>
          <w:tcPr>
            <w:tcW w:w="510" w:type="dxa"/>
          </w:tcPr>
          <w:p w:rsidR="000C6A23" w:rsidRDefault="000C6A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C6A23" w:rsidRDefault="000C6A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0C6A23" w:rsidRDefault="000C6A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8</w:t>
            </w:r>
          </w:p>
        </w:tc>
      </w:tr>
      <w:tr w:rsidR="000C6A23">
        <w:tc>
          <w:tcPr>
            <w:tcW w:w="9444" w:type="dxa"/>
            <w:gridSpan w:val="8"/>
          </w:tcPr>
          <w:p w:rsidR="000C6A23" w:rsidRDefault="000C6A23">
            <w:pPr>
              <w:pStyle w:val="ConsPlusNormal"/>
            </w:pPr>
            <w:r>
              <w:t>Основное мероприятие: обеспечение сохранности и развития существующей муниципальной дорожной сети и дорожных искусственных сооружений. Повышение безопасности дорожного движения, сокращение общего количества дорожно-транспортных происшествий с пострадавшими</w:t>
            </w:r>
          </w:p>
        </w:tc>
      </w:tr>
      <w:tr w:rsidR="000C6A23">
        <w:tc>
          <w:tcPr>
            <w:tcW w:w="51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  <w:vMerge w:val="restart"/>
          </w:tcPr>
          <w:p w:rsidR="000C6A23" w:rsidRDefault="000C6A23">
            <w:pPr>
              <w:pStyle w:val="ConsPlusNormal"/>
            </w:pPr>
            <w:r>
              <w:t>Сохранность и развитие сети автомобильных дорог общего пользования вне границ населенных пунктов в границах Облученского муниципального района на 2017 - 2021 годы</w:t>
            </w:r>
          </w:p>
        </w:tc>
        <w:tc>
          <w:tcPr>
            <w:tcW w:w="1849" w:type="dxa"/>
          </w:tcPr>
          <w:p w:rsidR="000C6A23" w:rsidRDefault="000C6A23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2304,1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6690,0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2741,6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5064,7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5641,2</w:t>
            </w:r>
          </w:p>
        </w:tc>
      </w:tr>
      <w:tr w:rsidR="000C6A23">
        <w:tc>
          <w:tcPr>
            <w:tcW w:w="510" w:type="dxa"/>
            <w:vMerge/>
          </w:tcPr>
          <w:p w:rsidR="000C6A23" w:rsidRDefault="000C6A23"/>
        </w:tc>
        <w:tc>
          <w:tcPr>
            <w:tcW w:w="2835" w:type="dxa"/>
            <w:vMerge/>
          </w:tcPr>
          <w:p w:rsidR="000C6A23" w:rsidRDefault="000C6A23"/>
        </w:tc>
        <w:tc>
          <w:tcPr>
            <w:tcW w:w="1849" w:type="dxa"/>
          </w:tcPr>
          <w:p w:rsidR="000C6A23" w:rsidRDefault="000C6A2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510" w:type="dxa"/>
            <w:vMerge/>
          </w:tcPr>
          <w:p w:rsidR="000C6A23" w:rsidRDefault="000C6A23"/>
        </w:tc>
        <w:tc>
          <w:tcPr>
            <w:tcW w:w="2835" w:type="dxa"/>
            <w:vMerge/>
          </w:tcPr>
          <w:p w:rsidR="000C6A23" w:rsidRDefault="000C6A23"/>
        </w:tc>
        <w:tc>
          <w:tcPr>
            <w:tcW w:w="1849" w:type="dxa"/>
          </w:tcPr>
          <w:p w:rsidR="000C6A23" w:rsidRDefault="000C6A23">
            <w:pPr>
              <w:pStyle w:val="ConsPlusNormal"/>
            </w:pPr>
            <w:r>
              <w:t>Областной бюджет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  <w:tr w:rsidR="000C6A23">
        <w:tc>
          <w:tcPr>
            <w:tcW w:w="510" w:type="dxa"/>
            <w:vMerge/>
          </w:tcPr>
          <w:p w:rsidR="000C6A23" w:rsidRDefault="000C6A23"/>
        </w:tc>
        <w:tc>
          <w:tcPr>
            <w:tcW w:w="2835" w:type="dxa"/>
            <w:vMerge/>
          </w:tcPr>
          <w:p w:rsidR="000C6A23" w:rsidRDefault="000C6A23"/>
        </w:tc>
        <w:tc>
          <w:tcPr>
            <w:tcW w:w="1849" w:type="dxa"/>
          </w:tcPr>
          <w:p w:rsidR="000C6A23" w:rsidRDefault="000C6A23">
            <w:pPr>
              <w:pStyle w:val="ConsPlusNormal"/>
            </w:pPr>
            <w:r>
              <w:t>Бюджет района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2304,1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6690,0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2741,6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5064,7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5641,2</w:t>
            </w:r>
          </w:p>
        </w:tc>
      </w:tr>
      <w:tr w:rsidR="000C6A23">
        <w:tc>
          <w:tcPr>
            <w:tcW w:w="510" w:type="dxa"/>
            <w:vMerge/>
          </w:tcPr>
          <w:p w:rsidR="000C6A23" w:rsidRDefault="000C6A23"/>
        </w:tc>
        <w:tc>
          <w:tcPr>
            <w:tcW w:w="2835" w:type="dxa"/>
            <w:vMerge/>
          </w:tcPr>
          <w:p w:rsidR="000C6A23" w:rsidRDefault="000C6A23"/>
        </w:tc>
        <w:tc>
          <w:tcPr>
            <w:tcW w:w="1849" w:type="dxa"/>
          </w:tcPr>
          <w:p w:rsidR="000C6A23" w:rsidRDefault="000C6A2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0C6A23" w:rsidRDefault="000C6A23">
            <w:pPr>
              <w:pStyle w:val="ConsPlusNormal"/>
              <w:jc w:val="center"/>
            </w:pPr>
            <w:r>
              <w:t>0,0</w:t>
            </w:r>
          </w:p>
        </w:tc>
      </w:tr>
    </w:tbl>
    <w:p w:rsidR="000C6A23" w:rsidRDefault="000C6A23">
      <w:pPr>
        <w:sectPr w:rsidR="000C6A2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10. Методика оценки эффективности муниципальной 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Критериями эффективности муниципальных целевых программ являются следующие: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10.1. Соответствие Программы системе приоритетов социально-экономического развития Облученского муниципального района (К</w:t>
      </w:r>
      <w:proofErr w:type="gramStart"/>
      <w:r>
        <w:t>1</w:t>
      </w:r>
      <w:proofErr w:type="gramEnd"/>
      <w:r>
        <w:t>).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10.2. Постановка в Программе задач, условием решения которых является применение программно-целевого метода (К</w:t>
      </w:r>
      <w:proofErr w:type="gramStart"/>
      <w:r>
        <w:t>2</w:t>
      </w:r>
      <w:proofErr w:type="gramEnd"/>
      <w:r>
        <w:t>).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10.3. Уровень проработки целевых показателей и индикаторов эффективности реализации Программы (К3).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10.4. Уровень финансового обеспечения Программы и его структурные параметры (К</w:t>
      </w:r>
      <w:proofErr w:type="gramStart"/>
      <w:r>
        <w:t>4</w:t>
      </w:r>
      <w:proofErr w:type="gramEnd"/>
      <w:r>
        <w:t>).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10.5. Организация управления и </w:t>
      </w:r>
      <w:proofErr w:type="gramStart"/>
      <w:r>
        <w:t>контроля за</w:t>
      </w:r>
      <w:proofErr w:type="gramEnd"/>
      <w:r>
        <w:t xml:space="preserve"> ходом исполнения Программы (К5).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 xml:space="preserve">Каждый критерий эффективности Программы рассчитывается в соответствии с балльной системой оценки, определенной </w:t>
      </w:r>
      <w:hyperlink w:anchor="P557" w:history="1">
        <w:r>
          <w:rPr>
            <w:color w:val="0000FF"/>
          </w:rPr>
          <w:t>приложением</w:t>
        </w:r>
      </w:hyperlink>
      <w:r>
        <w:t xml:space="preserve"> к настоящей Методике.</w:t>
      </w:r>
    </w:p>
    <w:p w:rsidR="000C6A23" w:rsidRDefault="000C6A23">
      <w:pPr>
        <w:pStyle w:val="ConsPlusNormal"/>
        <w:spacing w:before="200"/>
        <w:ind w:firstLine="540"/>
        <w:jc w:val="both"/>
      </w:pPr>
      <w:r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К = К</w:t>
      </w:r>
      <w:proofErr w:type="gramStart"/>
      <w:r>
        <w:t>1</w:t>
      </w:r>
      <w:proofErr w:type="gramEnd"/>
      <w:r>
        <w:t xml:space="preserve"> + К2 + К3 + К4 + К5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Для оценки итоговых интегральных оценок может использоваться следующая качественная шкала:</w:t>
      </w:r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4535"/>
      </w:tblGrid>
      <w:tr w:rsidR="000C6A23">
        <w:tc>
          <w:tcPr>
            <w:tcW w:w="3969" w:type="dxa"/>
          </w:tcPr>
          <w:p w:rsidR="000C6A23" w:rsidRDefault="000C6A23">
            <w:pPr>
              <w:pStyle w:val="ConsPlusNormal"/>
              <w:jc w:val="center"/>
            </w:pPr>
            <w:r>
              <w:t>Суммарное значение интегрального показателя</w:t>
            </w:r>
            <w:proofErr w:type="gramStart"/>
            <w:r>
              <w:t xml:space="preserve"> К</w:t>
            </w:r>
            <w:proofErr w:type="gramEnd"/>
            <w:r>
              <w:t>:</w:t>
            </w:r>
          </w:p>
        </w:tc>
        <w:tc>
          <w:tcPr>
            <w:tcW w:w="4535" w:type="dxa"/>
          </w:tcPr>
          <w:p w:rsidR="000C6A23" w:rsidRDefault="000C6A23">
            <w:pPr>
              <w:pStyle w:val="ConsPlusNormal"/>
              <w:jc w:val="center"/>
            </w:pPr>
            <w:r>
              <w:t>Качественная характеристика Программы:</w:t>
            </w:r>
          </w:p>
        </w:tc>
      </w:tr>
      <w:tr w:rsidR="000C6A23">
        <w:tc>
          <w:tcPr>
            <w:tcW w:w="3969" w:type="dxa"/>
          </w:tcPr>
          <w:p w:rsidR="000C6A23" w:rsidRDefault="000C6A23">
            <w:pPr>
              <w:pStyle w:val="ConsPlusNormal"/>
            </w:pPr>
            <w:r>
              <w:t>от 45 до 50 баллов</w:t>
            </w:r>
          </w:p>
        </w:tc>
        <w:tc>
          <w:tcPr>
            <w:tcW w:w="4535" w:type="dxa"/>
          </w:tcPr>
          <w:p w:rsidR="000C6A23" w:rsidRDefault="000C6A23">
            <w:pPr>
              <w:pStyle w:val="ConsPlusNormal"/>
            </w:pPr>
            <w:r>
              <w:t>Эффективная</w:t>
            </w:r>
          </w:p>
        </w:tc>
      </w:tr>
      <w:tr w:rsidR="000C6A23">
        <w:tc>
          <w:tcPr>
            <w:tcW w:w="3969" w:type="dxa"/>
          </w:tcPr>
          <w:p w:rsidR="000C6A23" w:rsidRDefault="000C6A23">
            <w:pPr>
              <w:pStyle w:val="ConsPlusNormal"/>
            </w:pPr>
            <w:r>
              <w:t>от 35 до 45 баллов</w:t>
            </w:r>
          </w:p>
        </w:tc>
        <w:tc>
          <w:tcPr>
            <w:tcW w:w="4535" w:type="dxa"/>
          </w:tcPr>
          <w:p w:rsidR="000C6A23" w:rsidRDefault="000C6A23">
            <w:pPr>
              <w:pStyle w:val="ConsPlusNormal"/>
            </w:pPr>
            <w:r>
              <w:t>Достаточно эффективная</w:t>
            </w:r>
          </w:p>
        </w:tc>
      </w:tr>
      <w:tr w:rsidR="000C6A23">
        <w:tc>
          <w:tcPr>
            <w:tcW w:w="3969" w:type="dxa"/>
          </w:tcPr>
          <w:p w:rsidR="000C6A23" w:rsidRDefault="000C6A23">
            <w:pPr>
              <w:pStyle w:val="ConsPlusNormal"/>
            </w:pPr>
            <w:r>
              <w:t>от 25 до 35 баллов</w:t>
            </w:r>
          </w:p>
        </w:tc>
        <w:tc>
          <w:tcPr>
            <w:tcW w:w="4535" w:type="dxa"/>
          </w:tcPr>
          <w:p w:rsidR="000C6A23" w:rsidRDefault="000C6A23">
            <w:pPr>
              <w:pStyle w:val="ConsPlusNormal"/>
            </w:pPr>
            <w:r>
              <w:t>Малоэффективная</w:t>
            </w:r>
          </w:p>
        </w:tc>
      </w:tr>
      <w:tr w:rsidR="000C6A23">
        <w:tc>
          <w:tcPr>
            <w:tcW w:w="3969" w:type="dxa"/>
          </w:tcPr>
          <w:p w:rsidR="000C6A23" w:rsidRDefault="000C6A23">
            <w:pPr>
              <w:pStyle w:val="ConsPlusNormal"/>
            </w:pPr>
            <w:r>
              <w:t>менее 25 баллов</w:t>
            </w:r>
          </w:p>
        </w:tc>
        <w:tc>
          <w:tcPr>
            <w:tcW w:w="4535" w:type="dxa"/>
          </w:tcPr>
          <w:p w:rsidR="000C6A23" w:rsidRDefault="000C6A23">
            <w:pPr>
              <w:pStyle w:val="ConsPlusNormal"/>
            </w:pPr>
            <w:r>
              <w:t>Неэффективная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2"/>
      </w:pPr>
      <w:bookmarkStart w:id="1" w:name="P557"/>
      <w:bookmarkEnd w:id="1"/>
      <w:r>
        <w:t>Оценка эффективности реализации муниципальной</w:t>
      </w:r>
    </w:p>
    <w:p w:rsidR="000C6A23" w:rsidRDefault="000C6A23">
      <w:pPr>
        <w:pStyle w:val="ConsPlusTitle"/>
        <w:jc w:val="center"/>
      </w:pPr>
      <w:r>
        <w:t>целевой программы</w:t>
      </w:r>
    </w:p>
    <w:p w:rsidR="000C6A23" w:rsidRDefault="000C6A2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929"/>
        <w:gridCol w:w="4365"/>
        <w:gridCol w:w="1054"/>
      </w:tblGrid>
      <w:tr w:rsidR="000C6A23">
        <w:tc>
          <w:tcPr>
            <w:tcW w:w="680" w:type="dxa"/>
          </w:tcPr>
          <w:p w:rsidR="000C6A23" w:rsidRDefault="000C6A23">
            <w:pPr>
              <w:pStyle w:val="ConsPlusNormal"/>
              <w:jc w:val="center"/>
            </w:pPr>
            <w:r>
              <w:t>Критерий</w:t>
            </w:r>
          </w:p>
        </w:tc>
        <w:tc>
          <w:tcPr>
            <w:tcW w:w="2929" w:type="dxa"/>
          </w:tcPr>
          <w:p w:rsidR="000C6A23" w:rsidRDefault="000C6A23">
            <w:pPr>
              <w:pStyle w:val="ConsPlusNormal"/>
              <w:jc w:val="center"/>
            </w:pPr>
            <w:r>
              <w:t>Формулировка критерия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center"/>
            </w:pPr>
            <w:r>
              <w:t>Содержание критерия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Балльная система оценки</w:t>
            </w:r>
          </w:p>
        </w:tc>
      </w:tr>
      <w:tr w:rsidR="000C6A23">
        <w:tc>
          <w:tcPr>
            <w:tcW w:w="68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К</w:t>
            </w:r>
            <w:proofErr w:type="gramStart"/>
            <w:r>
              <w:t>1</w:t>
            </w:r>
            <w:proofErr w:type="gramEnd"/>
          </w:p>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al"/>
            </w:pPr>
            <w:r>
              <w:t>Соответствие Программы системе приоритетов социально-экономического развития Облученского района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1. Проблема отнесена к приоритетным задачам социально-экономического развития, решаемым в том числе программно-целевыми методами, и соответствует проблемной отрасли одной или нескольких действующих или разрабатываемых федеральных, областных и муниципальных целевых программ или их подпрограмм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10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 xml:space="preserve">2. Проблема не отнесена к приоритетным задачам социально-экономического развития, но характеризуется показателями, значения которых значительно (более чем на 30%) отличаются от </w:t>
            </w:r>
            <w:proofErr w:type="spellStart"/>
            <w:r>
              <w:t>среднероссийских</w:t>
            </w:r>
            <w:proofErr w:type="spellEnd"/>
            <w:r>
              <w:t xml:space="preserve"> или </w:t>
            </w:r>
            <w:proofErr w:type="spellStart"/>
            <w:r>
              <w:t>среднеобластных</w:t>
            </w:r>
            <w:proofErr w:type="spellEnd"/>
            <w:r>
              <w:t xml:space="preserve"> в худшую сторону и имеют неблагоприятную динамику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3. Проблема не отнесена к приоритетным задачам социально-экономического развития и материалы программного документа не позволяют сделать однозначных выводов об имеющихся неблагоприятных тенденциях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0</w:t>
            </w:r>
          </w:p>
        </w:tc>
      </w:tr>
      <w:tr w:rsidR="000C6A23">
        <w:tc>
          <w:tcPr>
            <w:tcW w:w="68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К</w:t>
            </w:r>
            <w:proofErr w:type="gramStart"/>
            <w:r>
              <w:t>2</w:t>
            </w:r>
            <w:proofErr w:type="gramEnd"/>
          </w:p>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al"/>
            </w:pPr>
            <w:r>
              <w:t>Постановка в Программе задач, условием решения которых является применение программно-целевого метода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1. Наличие федеральной или областной целевой программы аналогичной направленности, которая содержит рекомендации о разработке исполнительными органами местного самоуправления соответствующих программ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10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 xml:space="preserve">2. Программный документ соответствует критерию, но в </w:t>
            </w:r>
            <w:proofErr w:type="gramStart"/>
            <w:r>
              <w:t>перечне</w:t>
            </w:r>
            <w:proofErr w:type="gramEnd"/>
            <w:r>
              <w:t xml:space="preserve"> мероприятий значительное количество представляет собой текущую деятельность органов управления администрации и подведомственных им учреждений. Кроме того, часть мероприятий Программы дублирует мероприятия других муниципальных целевых программ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3. Программный документ не соответствует критерию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0</w:t>
            </w:r>
          </w:p>
        </w:tc>
      </w:tr>
      <w:tr w:rsidR="000C6A23">
        <w:tc>
          <w:tcPr>
            <w:tcW w:w="68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К3</w:t>
            </w:r>
          </w:p>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al"/>
            </w:pPr>
            <w:r>
              <w:t>Уровень проработки целевых показателей и индикаторов эффективности реализации Программы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1. Наличие в Программе целевых показателей эффективности Программы, динамики показателей по годам реализации Программы. В случае отсутствия статистических сведений разработаны методы расчета текущих значений показателей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10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2. В Программе рассчитаны целевые показатели эффективности реализации Программы. Методика расчета этих показателей в Программе отсутствует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3. Целевые показатели эффективности Программы отсутствуют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0</w:t>
            </w:r>
          </w:p>
        </w:tc>
      </w:tr>
      <w:tr w:rsidR="000C6A23">
        <w:tc>
          <w:tcPr>
            <w:tcW w:w="68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К</w:t>
            </w:r>
            <w:proofErr w:type="gramStart"/>
            <w:r>
              <w:t>4</w:t>
            </w:r>
            <w:proofErr w:type="gramEnd"/>
          </w:p>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al"/>
            </w:pPr>
            <w:r>
              <w:t>Уровень финансового обеспечения Программы и его структурные параметры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1. Финансовое обеспечение Программы из всех источников финансирования составило свыше 80 процентов от запланированного значения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10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2. Финансовое обеспечение Программы из всех источников финансирования составило от 50 до 80 процентов от запланированного значения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3. Финансовое обеспечение Программы из всех источников финансирования составило менее 50 процентов от запланированного значения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0</w:t>
            </w:r>
          </w:p>
        </w:tc>
      </w:tr>
      <w:tr w:rsidR="000C6A23">
        <w:tc>
          <w:tcPr>
            <w:tcW w:w="680" w:type="dxa"/>
            <w:vMerge w:val="restart"/>
          </w:tcPr>
          <w:p w:rsidR="000C6A23" w:rsidRDefault="000C6A23">
            <w:pPr>
              <w:pStyle w:val="ConsPlusNormal"/>
              <w:jc w:val="center"/>
            </w:pPr>
            <w:r>
              <w:t>К5</w:t>
            </w:r>
          </w:p>
        </w:tc>
        <w:tc>
          <w:tcPr>
            <w:tcW w:w="2929" w:type="dxa"/>
            <w:vMerge w:val="restart"/>
          </w:tcPr>
          <w:p w:rsidR="000C6A23" w:rsidRDefault="000C6A23">
            <w:pPr>
              <w:pStyle w:val="ConsPlusNormal"/>
            </w:pPr>
            <w:r>
              <w:t xml:space="preserve">Организация управления и </w:t>
            </w:r>
            <w:proofErr w:type="gramStart"/>
            <w:r>
              <w:t>контроля за</w:t>
            </w:r>
            <w:proofErr w:type="gramEnd"/>
            <w:r>
              <w:t xml:space="preserve"> ходом исполнения Программы</w:t>
            </w:r>
          </w:p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1. Ежегодный отчет о ходе реализации Программы полностью соответствует установленным требованиям и рекомендациям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10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>2. Ежегодный отчет о ходе реализации Программы не содержит полного объема сведений, что затрудняет объективную оценку хода реализации Программы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5</w:t>
            </w:r>
          </w:p>
        </w:tc>
      </w:tr>
      <w:tr w:rsidR="000C6A23">
        <w:tc>
          <w:tcPr>
            <w:tcW w:w="680" w:type="dxa"/>
            <w:vMerge/>
          </w:tcPr>
          <w:p w:rsidR="000C6A23" w:rsidRDefault="000C6A23"/>
        </w:tc>
        <w:tc>
          <w:tcPr>
            <w:tcW w:w="2929" w:type="dxa"/>
            <w:vMerge/>
          </w:tcPr>
          <w:p w:rsidR="000C6A23" w:rsidRDefault="000C6A23"/>
        </w:tc>
        <w:tc>
          <w:tcPr>
            <w:tcW w:w="4365" w:type="dxa"/>
          </w:tcPr>
          <w:p w:rsidR="000C6A23" w:rsidRDefault="000C6A23">
            <w:pPr>
              <w:pStyle w:val="ConsPlusNormal"/>
              <w:jc w:val="both"/>
            </w:pPr>
            <w:r>
              <w:t xml:space="preserve">3. Отчет о ходе реализации Программы не </w:t>
            </w:r>
            <w:proofErr w:type="gramStart"/>
            <w:r>
              <w:t>соответствует установленным требованиям и рекомендациям и должен</w:t>
            </w:r>
            <w:proofErr w:type="gramEnd"/>
            <w:r>
              <w:t xml:space="preserve"> быть переработан</w:t>
            </w:r>
          </w:p>
        </w:tc>
        <w:tc>
          <w:tcPr>
            <w:tcW w:w="1054" w:type="dxa"/>
          </w:tcPr>
          <w:p w:rsidR="000C6A23" w:rsidRDefault="000C6A23">
            <w:pPr>
              <w:pStyle w:val="ConsPlusNormal"/>
              <w:jc w:val="center"/>
            </w:pPr>
            <w:r>
              <w:t>0</w:t>
            </w:r>
          </w:p>
        </w:tc>
      </w:tr>
    </w:tbl>
    <w:p w:rsidR="000C6A23" w:rsidRDefault="000C6A23">
      <w:pPr>
        <w:pStyle w:val="ConsPlusNormal"/>
        <w:jc w:val="both"/>
      </w:pPr>
    </w:p>
    <w:p w:rsidR="000C6A23" w:rsidRDefault="000C6A23">
      <w:pPr>
        <w:pStyle w:val="ConsPlusTitle"/>
        <w:jc w:val="center"/>
        <w:outlineLvl w:val="1"/>
      </w:pPr>
      <w:r>
        <w:t>11. Подпрограммы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ind w:firstLine="540"/>
        <w:jc w:val="both"/>
      </w:pPr>
      <w:r>
        <w:t>В состав муниципальной программы не входят подпрограммы.</w:t>
      </w: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jc w:val="both"/>
      </w:pPr>
    </w:p>
    <w:p w:rsidR="000C6A23" w:rsidRDefault="000C6A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BD17A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C6A23"/>
    <w:rsid w:val="00087150"/>
    <w:rsid w:val="000C6A23"/>
    <w:rsid w:val="00136015"/>
    <w:rsid w:val="001F5DD1"/>
    <w:rsid w:val="00306F5A"/>
    <w:rsid w:val="00412F3F"/>
    <w:rsid w:val="0046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0C6A23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0C6A2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C6A23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0C6A2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0C6A23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0C6A2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C6A2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C6A23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D146391DC419F7849801E88017663D8E4C9DE26F9E967C7747E15E051F5A049F677B3F3334F3C8F8433F506429E688C00FB2461BF9FA8B2B7173eEA2A" TargetMode="External"/><Relationship Id="rId13" Type="http://schemas.openxmlformats.org/officeDocument/2006/relationships/hyperlink" Target="consultantplus://offline/ref=69D146391DC419F784981FE5967B3C328B44C3E662949F2E2F18BA0352165053D828227E7231F99CA9076A5A6D7DA9CC9D1CB24604eFA0A" TargetMode="External"/><Relationship Id="rId18" Type="http://schemas.openxmlformats.org/officeDocument/2006/relationships/hyperlink" Target="consultantplus://offline/ref=69D146391DC419F7849801E88017663D8E4C9DE26C9694717347E15E051F5A049F677B3F3334F3C8F8433F506429E688C00FB2461BF9FA8B2B7173eEA2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9D146391DC419F7849801E88017663D8E4C9DE26C9694717347E15E051F5A049F677B3F3334F3C8F8433A5F6429E688C00FB2461BF9FA8B2B7173eEA2A" TargetMode="External"/><Relationship Id="rId7" Type="http://schemas.openxmlformats.org/officeDocument/2006/relationships/hyperlink" Target="consultantplus://offline/ref=69D146391DC419F7849801E88017663D8E4C9DE26F91937A7B47E15E051F5A049F677B3F3334F3C8F8433F506429E688C00FB2461BF9FA8B2B7173eEA2A" TargetMode="External"/><Relationship Id="rId12" Type="http://schemas.openxmlformats.org/officeDocument/2006/relationships/hyperlink" Target="consultantplus://offline/ref=69D146391DC419F784981FE5967B3C328B47C3E7629F9F2E2F18BA0352165053D828227D7739F2C0FD486B062B28BACE951CB04E1BFBF294e2A0A" TargetMode="External"/><Relationship Id="rId17" Type="http://schemas.openxmlformats.org/officeDocument/2006/relationships/hyperlink" Target="consultantplus://offline/ref=69D146391DC419F7849801E88017663D8E4C9DE26F9F977C7747E15E051F5A049F677B3F3334F3C8F8433F506429E688C00FB2461BF9FA8B2B7173eEA2A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D146391DC419F7849801E88017663D8E4C9DE26F9E95707347E15E051F5A049F677B3F3334F3C8F8433F5E6429E688C00FB2461BF9FA8B2B7173eEA2A" TargetMode="External"/><Relationship Id="rId20" Type="http://schemas.openxmlformats.org/officeDocument/2006/relationships/hyperlink" Target="consultantplus://offline/ref=69D146391DC419F784981FE5967B3C328B47C2EF6B969F2E2F18BA0352165053D82822797C6DA38CAD4E3D57717DBFD29702B1e4AF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9D146391DC419F7849801E88017663D8E4C9DE26F9597787B47E15E051F5A049F677B3F3334F3C8F8433F506429E688C00FB2461BF9FA8B2B7173eEA2A" TargetMode="External"/><Relationship Id="rId11" Type="http://schemas.openxmlformats.org/officeDocument/2006/relationships/hyperlink" Target="consultantplus://offline/ref=69D146391DC419F7849801E88017663D8E4C9DE26C9694717347E15E051F5A049F677B3F3334F3C8F8433F506429E688C00FB2461BF9FA8B2B7173eEA2A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69D146391DC419F7849801E88017663D8E4C9DE26F95947A7647E15E051F5A049F677B3F3334F3C8F8433F506429E688C00FB2461BF9FA8B2B7173eEA2A" TargetMode="External"/><Relationship Id="rId15" Type="http://schemas.openxmlformats.org/officeDocument/2006/relationships/hyperlink" Target="consultantplus://offline/ref=69D146391DC419F7849801E88017663D8E4C9DE26F9F967F7647E15E051F5A049F677B3F3334F3C8FA4736546429E688C00FB2461BF9FA8B2B7173eEA2A" TargetMode="External"/><Relationship Id="rId23" Type="http://schemas.openxmlformats.org/officeDocument/2006/relationships/hyperlink" Target="consultantplus://offline/ref=69D146391DC419F7849801E88017663D8E4C9DE26992937E7147E15E051F5A049F677B2D336CFFCAF85D3F5F717FB7CDe9ACA" TargetMode="External"/><Relationship Id="rId10" Type="http://schemas.openxmlformats.org/officeDocument/2006/relationships/hyperlink" Target="consultantplus://offline/ref=69D146391DC419F7849801E88017663D8E4C9DE26F9F977C7747E15E051F5A049F677B3F3334F3C8F8433F506429E688C00FB2461BF9FA8B2B7173eEA2A" TargetMode="External"/><Relationship Id="rId19" Type="http://schemas.openxmlformats.org/officeDocument/2006/relationships/hyperlink" Target="consultantplus://offline/ref=69D146391DC419F7849801E88017663D8E4C9DE26C9694717347E15E051F5A049F677B3F3334F3C8F8433F5F6429E688C00FB2461BF9FA8B2B7173eEA2A" TargetMode="External"/><Relationship Id="rId4" Type="http://schemas.openxmlformats.org/officeDocument/2006/relationships/hyperlink" Target="consultantplus://offline/ref=69D146391DC419F7849801E88017663D8E4C9DE26E9E907E7647E15E051F5A049F677B3F3334F3C8F8433F506429E688C00FB2461BF9FA8B2B7173eEA2A" TargetMode="External"/><Relationship Id="rId9" Type="http://schemas.openxmlformats.org/officeDocument/2006/relationships/hyperlink" Target="consultantplus://offline/ref=69D146391DC419F7849801E88017663D8E4C9DE26F9E95707347E15E051F5A049F677B3F3334F3C8F8433F506429E688C00FB2461BF9FA8B2B7173eEA2A" TargetMode="External"/><Relationship Id="rId14" Type="http://schemas.openxmlformats.org/officeDocument/2006/relationships/hyperlink" Target="consultantplus://offline/ref=69D146391DC419F7849801E88017663D8E4C9DE26992937E7147E15E051F5A049F677B3F3334F3C8F8433E536429E688C00FB2461BF9FA8B2B7173eEA2A" TargetMode="External"/><Relationship Id="rId22" Type="http://schemas.openxmlformats.org/officeDocument/2006/relationships/hyperlink" Target="consultantplus://offline/ref=69D146391DC419F784981FE5967B3C328B45C7ED6C9E9F2E2F18BA0352165053CA287A717539ECC8F05D3D576Ee7A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3748</Words>
  <Characters>21364</Characters>
  <Application>Microsoft Office Word</Application>
  <DocSecurity>0</DocSecurity>
  <Lines>178</Lines>
  <Paragraphs>50</Paragraphs>
  <ScaleCrop>false</ScaleCrop>
  <Company>Grizli777</Company>
  <LinksUpToDate>false</LinksUpToDate>
  <CharactersWithSpaces>25062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2019-08-20T00:00:00Z</dcterms:created>
  <dcterms:modified xsi:type="dcterms:W3CDTF">2019-08-20T00:01:00Z</dcterms:modified>
</cp:coreProperties>
</file>